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sz w:val="32"/>
          <w:szCs w:val="32"/>
          <w:lang w:val="en-US" w:eastAsia="zh-CN"/>
        </w:rPr>
      </w:pPr>
      <w:r>
        <w:rPr>
          <w:rFonts w:hint="eastAsia" w:ascii="宋体" w:hAnsi="宋体" w:cs="宋体"/>
          <w:b/>
          <w:bCs/>
          <w:sz w:val="32"/>
          <w:szCs w:val="32"/>
          <w:lang w:eastAsia="zh-CN"/>
        </w:rPr>
        <w:t>附件</w:t>
      </w:r>
      <w:r>
        <w:rPr>
          <w:rFonts w:hint="eastAsia" w:ascii="宋体" w:hAnsi="宋体" w:cs="宋体"/>
          <w:b/>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评标办法</w:t>
      </w:r>
    </w:p>
    <w:p>
      <w:pPr>
        <w:spacing w:line="460" w:lineRule="exact"/>
        <w:rPr>
          <w:rFonts w:hint="eastAsia" w:ascii="黑体" w:eastAsia="黑体"/>
          <w:sz w:val="32"/>
          <w:szCs w:val="32"/>
        </w:rPr>
      </w:pPr>
    </w:p>
    <w:p>
      <w:pPr>
        <w:pStyle w:val="3"/>
        <w:keepNext w:val="0"/>
        <w:keepLines w:val="0"/>
        <w:pageBreakBefore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rPr>
        <w:t>一、总则</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评标工作遵循公正、公平、科学、择优的原则，评标人员将本着认真、公正、诚实、廉洁的精神，进行评标工作，择优推荐中标候选人。在评标期间，评标委员</w:t>
      </w:r>
      <w:r>
        <w:rPr>
          <w:rFonts w:hint="eastAsia" w:ascii="仿宋_GB2312" w:eastAsia="仿宋_GB2312" w:cs="Times New Roman"/>
          <w:sz w:val="32"/>
          <w:szCs w:val="32"/>
          <w:lang w:eastAsia="zh-CN"/>
        </w:rPr>
        <w:t>会</w:t>
      </w:r>
      <w:r>
        <w:rPr>
          <w:rFonts w:hint="eastAsia" w:ascii="仿宋_GB2312" w:hAnsi="Calibri" w:eastAsia="仿宋_GB2312" w:cs="Times New Roman"/>
          <w:sz w:val="32"/>
          <w:szCs w:val="32"/>
        </w:rPr>
        <w:t>及相关工作人员必须严格遵守保密规定，不得泄露评标的有关情况。</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投标人应该在开标现场向招标人提供真实、有效、充分的原件证明材料,凡弄虚作假,提供假证明、假文件、假材料的,一经查实,由招标人取消其投标资格;对已经宣布中标的投标人则由招标人取消其中标资格。</w:t>
      </w:r>
    </w:p>
    <w:p>
      <w:pPr>
        <w:pStyle w:val="3"/>
        <w:keepNext w:val="0"/>
        <w:keepLines w:val="0"/>
        <w:pageBreakBefore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rPr>
        <w:t>二、评标组织</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评标工作由采购人依法组建的评标委员会负责审标、询标、评审等工作。</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Times New Roman"/>
          <w:bCs w:val="0"/>
          <w:sz w:val="32"/>
          <w:szCs w:val="32"/>
        </w:rPr>
      </w:pPr>
      <w:r>
        <w:rPr>
          <w:rFonts w:hint="eastAsia" w:ascii="黑体" w:hAnsi="黑体" w:eastAsia="黑体" w:cs="Times New Roman"/>
          <w:b w:val="0"/>
          <w:sz w:val="32"/>
          <w:szCs w:val="32"/>
        </w:rPr>
        <w:t>二、开标程序</w:t>
      </w:r>
    </w:p>
    <w:p>
      <w:pPr>
        <w:pStyle w:val="5"/>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按各投标人</w:t>
      </w:r>
      <w:r>
        <w:rPr>
          <w:rFonts w:hint="eastAsia" w:ascii="仿宋_GB2312" w:hAnsi="Calibri" w:eastAsia="仿宋_GB2312" w:cs="Times New Roman"/>
          <w:kern w:val="2"/>
          <w:sz w:val="32"/>
          <w:szCs w:val="32"/>
          <w:lang w:val="en-US" w:eastAsia="zh-CN"/>
        </w:rPr>
        <w:t>按抽签</w:t>
      </w:r>
      <w:r>
        <w:rPr>
          <w:rFonts w:hint="eastAsia" w:ascii="仿宋_GB2312" w:hAnsi="Calibri" w:eastAsia="仿宋_GB2312" w:cs="Times New Roman"/>
          <w:kern w:val="2"/>
          <w:sz w:val="32"/>
          <w:szCs w:val="32"/>
        </w:rPr>
        <w:t>顺序进行。</w:t>
      </w:r>
    </w:p>
    <w:p>
      <w:pPr>
        <w:pStyle w:val="3"/>
        <w:keepNext w:val="0"/>
        <w:keepLines w:val="0"/>
        <w:pageBreakBefore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rPr>
        <w:t>三、符合性审查</w:t>
      </w:r>
    </w:p>
    <w:p>
      <w:pPr>
        <w:pStyle w:val="2"/>
        <w:pageBreakBefore w:val="0"/>
        <w:kinsoku/>
        <w:wordWrap/>
        <w:overflowPunct/>
        <w:topLinePunct w:val="0"/>
        <w:autoSpaceDE/>
        <w:autoSpaceDN/>
        <w:bidi w:val="0"/>
        <w:adjustRightInd/>
        <w:snapToGrid/>
        <w:spacing w:line="600" w:lineRule="exac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评标委员会对投标文件依据招标文件规定进行符合性审查,以确定投标人是否具备投标资格。</w:t>
      </w:r>
    </w:p>
    <w:p>
      <w:pPr>
        <w:pStyle w:val="3"/>
        <w:keepNext w:val="0"/>
        <w:keepLines w:val="0"/>
        <w:pageBreakBefore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Times New Roman"/>
          <w:b w:val="0"/>
          <w:bCs w:val="0"/>
          <w:sz w:val="32"/>
        </w:rPr>
      </w:pPr>
      <w:r>
        <w:rPr>
          <w:rFonts w:hint="eastAsia" w:ascii="黑体" w:hAnsi="黑体" w:eastAsia="黑体" w:cs="Times New Roman"/>
          <w:b w:val="0"/>
          <w:bCs w:val="0"/>
          <w:sz w:val="32"/>
          <w:lang w:val="en-US" w:eastAsia="zh-CN"/>
        </w:rPr>
        <w:t>四</w:t>
      </w:r>
      <w:r>
        <w:rPr>
          <w:rFonts w:hint="eastAsia" w:ascii="黑体" w:hAnsi="黑体" w:eastAsia="黑体" w:cs="Times New Roman"/>
          <w:b w:val="0"/>
          <w:bCs w:val="0"/>
          <w:sz w:val="32"/>
        </w:rPr>
        <w:t>、评标细则</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Calibri" w:eastAsia="仿宋_GB2312" w:cs="Times New Roman"/>
          <w:b w:val="0"/>
          <w:sz w:val="32"/>
          <w:szCs w:val="32"/>
        </w:rPr>
      </w:pPr>
      <w:r>
        <w:rPr>
          <w:rFonts w:hint="eastAsia" w:ascii="仿宋_GB2312" w:hAnsi="Calibri" w:eastAsia="仿宋_GB2312" w:cs="Times New Roman"/>
          <w:sz w:val="32"/>
          <w:szCs w:val="32"/>
        </w:rPr>
        <w:t>本次评标采用综合评分法，总分为100分，资信技术</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0分、商务报价</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0分</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rPr>
        <w:t>计算分值时，按其算术平均值保留小数2位。</w:t>
      </w:r>
    </w:p>
    <w:p>
      <w:pPr>
        <w:pStyle w:val="3"/>
        <w:keepNext w:val="0"/>
        <w:keepLines w:val="0"/>
        <w:pageBreakBefore w:val="0"/>
        <w:kinsoku/>
        <w:wordWrap/>
        <w:overflowPunct/>
        <w:topLinePunct w:val="0"/>
        <w:autoSpaceDE/>
        <w:autoSpaceDN/>
        <w:bidi w:val="0"/>
        <w:adjustRightInd/>
        <w:snapToGrid/>
        <w:spacing w:before="0" w:after="0" w:line="600" w:lineRule="exact"/>
        <w:ind w:firstLine="422"/>
        <w:textAlignment w:val="auto"/>
        <w:rPr>
          <w:rFonts w:hint="eastAsia" w:ascii="仿宋_GB2312" w:hAnsi="Calibri" w:eastAsia="仿宋_GB2312" w:cs="Times New Roman"/>
          <w:b/>
          <w:bCs/>
          <w:i w:val="0"/>
          <w:iCs w:val="0"/>
          <w:sz w:val="32"/>
          <w:lang w:eastAsia="zh-CN"/>
        </w:rPr>
      </w:pPr>
      <w:r>
        <w:rPr>
          <w:rFonts w:hint="eastAsia" w:ascii="仿宋_GB2312" w:hAnsi="Calibri" w:eastAsia="仿宋_GB2312" w:cs="Times New Roman"/>
          <w:b/>
          <w:bCs/>
          <w:i w:val="0"/>
          <w:iCs w:val="0"/>
          <w:sz w:val="32"/>
          <w:szCs w:val="32"/>
          <w:lang w:eastAsia="zh-CN"/>
        </w:rPr>
        <w:t>（</w:t>
      </w:r>
      <w:r>
        <w:rPr>
          <w:rFonts w:hint="eastAsia" w:ascii="仿宋_GB2312" w:hAnsi="Calibri" w:eastAsia="仿宋_GB2312" w:cs="Times New Roman"/>
          <w:b/>
          <w:bCs/>
          <w:i w:val="0"/>
          <w:iCs w:val="0"/>
          <w:sz w:val="32"/>
          <w:szCs w:val="32"/>
          <w:lang w:val="en-US" w:eastAsia="zh-CN"/>
        </w:rPr>
        <w:t>一</w:t>
      </w:r>
      <w:r>
        <w:rPr>
          <w:rFonts w:hint="eastAsia" w:ascii="仿宋_GB2312" w:hAnsi="Calibri" w:eastAsia="仿宋_GB2312" w:cs="Times New Roman"/>
          <w:b/>
          <w:bCs/>
          <w:i w:val="0"/>
          <w:iCs w:val="0"/>
          <w:sz w:val="32"/>
          <w:szCs w:val="32"/>
          <w:lang w:eastAsia="zh-CN"/>
        </w:rPr>
        <w:t>）</w:t>
      </w:r>
      <w:r>
        <w:rPr>
          <w:rFonts w:hint="eastAsia" w:ascii="仿宋_GB2312" w:hAnsi="Calibri" w:eastAsia="仿宋_GB2312" w:cs="Times New Roman"/>
          <w:b/>
          <w:bCs/>
          <w:i w:val="0"/>
          <w:iCs w:val="0"/>
          <w:sz w:val="32"/>
          <w:szCs w:val="32"/>
        </w:rPr>
        <w:t>资信技术</w:t>
      </w:r>
      <w:r>
        <w:rPr>
          <w:rFonts w:hint="eastAsia" w:ascii="仿宋_GB2312" w:hAnsi="Calibri" w:eastAsia="仿宋_GB2312" w:cs="Times New Roman"/>
          <w:b/>
          <w:bCs/>
          <w:i w:val="0"/>
          <w:iCs w:val="0"/>
          <w:sz w:val="32"/>
          <w:szCs w:val="32"/>
          <w:lang w:val="en-US" w:eastAsia="zh-CN"/>
        </w:rPr>
        <w:t>8</w:t>
      </w:r>
      <w:r>
        <w:rPr>
          <w:rFonts w:hint="eastAsia" w:ascii="仿宋_GB2312" w:hAnsi="Calibri" w:eastAsia="仿宋_GB2312" w:cs="Times New Roman"/>
          <w:b/>
          <w:bCs/>
          <w:i w:val="0"/>
          <w:iCs w:val="0"/>
          <w:sz w:val="32"/>
          <w:szCs w:val="32"/>
        </w:rPr>
        <w:t>0分</w:t>
      </w:r>
    </w:p>
    <w:p>
      <w:pPr>
        <w:pStyle w:val="3"/>
        <w:pageBreakBefore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Calibri" w:eastAsia="仿宋_GB2312" w:cs="Times New Roman"/>
          <w:b w:val="0"/>
          <w:bCs w:val="0"/>
          <w:sz w:val="32"/>
          <w:lang w:val="en-US" w:eastAsia="zh-CN"/>
        </w:rPr>
      </w:pPr>
      <w:r>
        <w:rPr>
          <w:rFonts w:hint="eastAsia" w:ascii="仿宋_GB2312" w:hAnsi="Calibri" w:eastAsia="仿宋_GB2312" w:cs="Times New Roman"/>
          <w:b w:val="0"/>
          <w:bCs w:val="0"/>
          <w:sz w:val="32"/>
          <w:lang w:val="en-US" w:eastAsia="zh-CN"/>
        </w:rPr>
        <w:t>详见评分表。</w:t>
      </w:r>
    </w:p>
    <w:p>
      <w:pPr>
        <w:pStyle w:val="3"/>
        <w:keepNext w:val="0"/>
        <w:keepLines w:val="0"/>
        <w:pageBreakBefore w:val="0"/>
        <w:kinsoku/>
        <w:wordWrap/>
        <w:overflowPunct/>
        <w:topLinePunct w:val="0"/>
        <w:autoSpaceDE/>
        <w:autoSpaceDN/>
        <w:bidi w:val="0"/>
        <w:adjustRightInd/>
        <w:snapToGrid/>
        <w:spacing w:before="0" w:after="0" w:line="600" w:lineRule="exact"/>
        <w:ind w:firstLine="422"/>
        <w:textAlignment w:val="auto"/>
        <w:rPr>
          <w:rFonts w:hint="eastAsia" w:ascii="仿宋_GB2312" w:hAnsi="Calibri" w:eastAsia="仿宋_GB2312" w:cs="Times New Roman"/>
          <w:b/>
          <w:bCs/>
          <w:i w:val="0"/>
          <w:iCs w:val="0"/>
          <w:sz w:val="32"/>
          <w:szCs w:val="32"/>
          <w:lang w:eastAsia="zh-CN"/>
        </w:rPr>
      </w:pPr>
      <w:r>
        <w:rPr>
          <w:rFonts w:hint="eastAsia" w:ascii="仿宋_GB2312" w:hAnsi="Calibri" w:eastAsia="仿宋_GB2312" w:cs="Times New Roman"/>
          <w:b/>
          <w:bCs/>
          <w:i w:val="0"/>
          <w:iCs w:val="0"/>
          <w:sz w:val="32"/>
          <w:szCs w:val="32"/>
          <w:lang w:eastAsia="zh-CN"/>
        </w:rPr>
        <w:t>（</w:t>
      </w:r>
      <w:r>
        <w:rPr>
          <w:rFonts w:hint="eastAsia" w:ascii="仿宋_GB2312" w:hAnsi="Calibri" w:eastAsia="仿宋_GB2312" w:cs="Times New Roman"/>
          <w:b/>
          <w:bCs/>
          <w:i w:val="0"/>
          <w:iCs w:val="0"/>
          <w:sz w:val="32"/>
          <w:szCs w:val="32"/>
          <w:lang w:val="en-US" w:eastAsia="zh-CN"/>
        </w:rPr>
        <w:t>二</w:t>
      </w:r>
      <w:r>
        <w:rPr>
          <w:rFonts w:hint="eastAsia" w:ascii="仿宋_GB2312" w:hAnsi="Calibri" w:eastAsia="仿宋_GB2312" w:cs="Times New Roman"/>
          <w:b/>
          <w:bCs/>
          <w:i w:val="0"/>
          <w:iCs w:val="0"/>
          <w:sz w:val="32"/>
          <w:szCs w:val="32"/>
          <w:lang w:eastAsia="zh-CN"/>
        </w:rPr>
        <w:t>）商务报价</w:t>
      </w:r>
      <w:r>
        <w:rPr>
          <w:rFonts w:hint="eastAsia" w:ascii="仿宋_GB2312" w:hAnsi="Calibri" w:eastAsia="仿宋_GB2312" w:cs="Times New Roman"/>
          <w:b/>
          <w:bCs/>
          <w:i w:val="0"/>
          <w:iCs w:val="0"/>
          <w:sz w:val="32"/>
          <w:szCs w:val="32"/>
          <w:lang w:val="en-US" w:eastAsia="zh-CN"/>
        </w:rPr>
        <w:t>2</w:t>
      </w:r>
      <w:r>
        <w:rPr>
          <w:rFonts w:hint="eastAsia" w:ascii="仿宋_GB2312" w:hAnsi="Calibri" w:eastAsia="仿宋_GB2312" w:cs="Times New Roman"/>
          <w:b/>
          <w:bCs/>
          <w:i w:val="0"/>
          <w:iCs w:val="0"/>
          <w:sz w:val="32"/>
          <w:szCs w:val="32"/>
          <w:lang w:eastAsia="zh-CN"/>
        </w:rPr>
        <w:t>0分</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s="Times New Roman"/>
          <w:sz w:val="32"/>
          <w:szCs w:val="32"/>
          <w:lang w:val="zh-CN"/>
        </w:rPr>
      </w:pPr>
      <w:r>
        <w:rPr>
          <w:rFonts w:hint="eastAsia" w:ascii="仿宋_GB2312" w:eastAsia="仿宋_GB2312" w:cs="Times New Roman"/>
          <w:sz w:val="32"/>
          <w:szCs w:val="32"/>
          <w:lang w:val="zh-CN"/>
        </w:rPr>
        <w:t>根据各投标人的有效投标报价，以满足招标文件要求且有效投标价格的最低的投标报价为评标基准价，其价格分为</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lang w:val="zh-CN"/>
        </w:rPr>
        <w:t>0分。其他投标人的价格分统一按照下列公式计算：</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zh-CN"/>
        </w:rPr>
        <w:t>投标报价得分＝(评标基准价/有效投标报价)×</w:t>
      </w:r>
      <w:r>
        <w:rPr>
          <w:rFonts w:hint="eastAsia" w:ascii="仿宋_GB2312" w:eastAsia="仿宋_GB2312" w:cs="Times New Roman"/>
          <w:sz w:val="32"/>
          <w:szCs w:val="32"/>
          <w:lang w:val="en-US" w:eastAsia="zh-CN"/>
        </w:rPr>
        <w:t>20</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cs="Times New Roman"/>
          <w:sz w:val="32"/>
          <w:szCs w:val="32"/>
          <w:lang w:val="zh-CN"/>
        </w:rPr>
      </w:pPr>
      <w:r>
        <w:rPr>
          <w:rFonts w:hint="eastAsia" w:ascii="仿宋_GB2312" w:eastAsia="仿宋_GB2312" w:cs="Times New Roman"/>
          <w:sz w:val="32"/>
          <w:szCs w:val="32"/>
          <w:lang w:val="zh-CN"/>
        </w:rPr>
        <w:t>如投标人报价超过采购预算，其投标文件作无效标处理。如投标人报价明显低于其他投标</w:t>
      </w:r>
      <w:bookmarkStart w:id="0" w:name="_GoBack"/>
      <w:bookmarkEnd w:id="0"/>
      <w:r>
        <w:rPr>
          <w:rFonts w:hint="eastAsia" w:ascii="仿宋_GB2312" w:eastAsia="仿宋_GB2312" w:cs="Times New Roman"/>
          <w:sz w:val="32"/>
          <w:szCs w:val="32"/>
          <w:lang w:val="zh-CN"/>
        </w:rPr>
        <w:t>报价,使得其投标报价可能低于其成本的,应当要求该投标人做出书面说明并提供相应证明材料。投标人不能合理说明或者不能提供相应证明材料,由评标专家组认定该投标人以低于成本报价投标，其投标文件作无效标处理。</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、确定中标人</w:t>
      </w:r>
    </w:p>
    <w:p>
      <w:pPr>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合格投标人的评标得分为各项目汇总得分，中标候选资格按综合得分由高到低顺序排列</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得分相同的，按投标报价由低到高顺序排列；得分</w:t>
      </w:r>
      <w:r>
        <w:rPr>
          <w:rFonts w:hint="eastAsia" w:ascii="仿宋_GB2312" w:eastAsia="仿宋_GB2312" w:cs="Times New Roman"/>
          <w:sz w:val="32"/>
          <w:szCs w:val="32"/>
          <w:lang w:eastAsia="zh-CN"/>
        </w:rPr>
        <w:t>与</w:t>
      </w:r>
      <w:r>
        <w:rPr>
          <w:rFonts w:hint="eastAsia" w:ascii="仿宋_GB2312" w:hAnsi="Calibri" w:eastAsia="仿宋_GB2312" w:cs="Times New Roman"/>
          <w:sz w:val="32"/>
          <w:szCs w:val="32"/>
        </w:rPr>
        <w:t>投标报价相同的，按评标内容技术部分中得分最高的投标人为排名第一的中标候选人。</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w:t>
      </w:r>
      <w:r>
        <w:rPr>
          <w:rFonts w:hint="eastAsia" w:ascii="黑体" w:hAnsi="黑体" w:eastAsia="黑体" w:cs="Times New Roman"/>
          <w:sz w:val="32"/>
          <w:szCs w:val="32"/>
          <w:lang w:eastAsia="zh-CN"/>
        </w:rPr>
        <w:t>废标</w:t>
      </w:r>
    </w:p>
    <w:p>
      <w:pPr>
        <w:pStyle w:val="2"/>
        <w:pageBreakBefore w:val="0"/>
        <w:kinsoku/>
        <w:wordWrap/>
        <w:overflowPunct/>
        <w:topLinePunct w:val="0"/>
        <w:autoSpaceDE/>
        <w:autoSpaceDN/>
        <w:bidi w:val="0"/>
        <w:adjustRightInd/>
        <w:snapToGrid/>
        <w:spacing w:line="600" w:lineRule="exact"/>
        <w:textAlignment w:val="auto"/>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出现下列情形之一的，应予废标：</w:t>
      </w:r>
    </w:p>
    <w:p>
      <w:pPr>
        <w:pStyle w:val="2"/>
        <w:pageBreakBefore w:val="0"/>
        <w:kinsoku/>
        <w:wordWrap/>
        <w:overflowPunct/>
        <w:topLinePunct w:val="0"/>
        <w:autoSpaceDE/>
        <w:autoSpaceDN/>
        <w:bidi w:val="0"/>
        <w:adjustRightInd/>
        <w:snapToGrid/>
        <w:spacing w:line="600" w:lineRule="exact"/>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1、出现影响采购公正的违法、违规行为的；</w:t>
      </w:r>
    </w:p>
    <w:p>
      <w:pPr>
        <w:pStyle w:val="2"/>
        <w:pageBreakBefore w:val="0"/>
        <w:kinsoku/>
        <w:wordWrap/>
        <w:overflowPunct/>
        <w:topLinePunct w:val="0"/>
        <w:autoSpaceDE/>
        <w:autoSpaceDN/>
        <w:bidi w:val="0"/>
        <w:adjustRightInd/>
        <w:snapToGrid/>
        <w:spacing w:line="600" w:lineRule="exact"/>
        <w:textAlignment w:val="auto"/>
        <w:rPr>
          <w:rFonts w:hint="eastAsia"/>
        </w:rPr>
        <w:sectPr>
          <w:footerReference r:id="rId3" w:type="default"/>
          <w:pgSz w:w="11906" w:h="16838"/>
          <w:pgMar w:top="1440" w:right="1803" w:bottom="1440" w:left="1803" w:header="851" w:footer="992" w:gutter="0"/>
          <w:pgNumType w:fmt="decimal"/>
          <w:cols w:space="0" w:num="1"/>
          <w:rtlGutter w:val="0"/>
          <w:docGrid w:type="lines" w:linePitch="312" w:charSpace="0"/>
        </w:sectPr>
      </w:pPr>
      <w:r>
        <w:rPr>
          <w:rFonts w:hint="eastAsia" w:ascii="仿宋_GB2312" w:eastAsia="仿宋_GB2312" w:cs="Times New Roman"/>
          <w:sz w:val="32"/>
          <w:szCs w:val="32"/>
          <w:lang w:val="en-US" w:eastAsia="zh-CN"/>
        </w:rPr>
        <w:t>2、因重大变故，采购任务取消的。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项目评分表（资信技术分）</w:t>
      </w:r>
    </w:p>
    <w:p>
      <w:pPr>
        <w:pStyle w:val="2"/>
        <w:rPr>
          <w:rFonts w:hint="eastAsia"/>
        </w:rPr>
      </w:pPr>
    </w:p>
    <w:tbl>
      <w:tblPr>
        <w:tblStyle w:val="8"/>
        <w:tblW w:w="14120" w:type="dxa"/>
        <w:jc w:val="center"/>
        <w:tblInd w:w="-20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1273"/>
        <w:gridCol w:w="5196"/>
        <w:gridCol w:w="869"/>
        <w:gridCol w:w="786"/>
        <w:gridCol w:w="788"/>
        <w:gridCol w:w="807"/>
        <w:gridCol w:w="902"/>
        <w:gridCol w:w="883"/>
        <w:gridCol w:w="883"/>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jc w:val="center"/>
        </w:trPr>
        <w:tc>
          <w:tcPr>
            <w:tcW w:w="851" w:type="dxa"/>
            <w:vMerge w:val="restart"/>
            <w:tcBorders>
              <w:top w:val="single" w:color="auto" w:sz="4" w:space="0"/>
              <w:left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_GB2312" w:hAnsi="仿宋_GB2312" w:eastAsia="仿宋_GB2312" w:cs="仿宋_GB2312"/>
                <w:b/>
                <w:bCs/>
                <w:color w:val="000000"/>
                <w:kern w:val="0"/>
                <w:sz w:val="18"/>
                <w:szCs w:val="18"/>
              </w:rPr>
            </w:pPr>
            <w:r>
              <w:rPr>
                <w:rFonts w:hint="eastAsia" w:ascii="仿宋_GB2312" w:hAnsi="仿宋_GB2312" w:eastAsia="仿宋_GB2312" w:cs="仿宋_GB2312"/>
                <w:b/>
                <w:bCs/>
                <w:sz w:val="18"/>
                <w:szCs w:val="18"/>
              </w:rPr>
              <w:t>序号</w:t>
            </w:r>
          </w:p>
        </w:tc>
        <w:tc>
          <w:tcPr>
            <w:tcW w:w="1273" w:type="dxa"/>
            <w:vMerge w:val="restart"/>
            <w:tcBorders>
              <w:top w:val="single" w:color="auto" w:sz="4" w:space="0"/>
              <w:left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_GB2312" w:hAnsi="仿宋_GB2312" w:eastAsia="仿宋_GB2312" w:cs="仿宋_GB2312"/>
                <w:b/>
                <w:bCs/>
                <w:color w:val="000000"/>
                <w:kern w:val="0"/>
                <w:sz w:val="18"/>
                <w:szCs w:val="18"/>
                <w:lang w:val="en-US" w:eastAsia="zh-CN"/>
              </w:rPr>
            </w:pPr>
            <w:r>
              <w:rPr>
                <w:rFonts w:hint="eastAsia" w:ascii="仿宋_GB2312" w:hAnsi="仿宋_GB2312" w:eastAsia="仿宋_GB2312" w:cs="仿宋_GB2312"/>
                <w:b/>
                <w:bCs/>
                <w:sz w:val="18"/>
                <w:szCs w:val="18"/>
              </w:rPr>
              <w:t>评审内容</w:t>
            </w:r>
          </w:p>
        </w:tc>
        <w:tc>
          <w:tcPr>
            <w:tcW w:w="5196" w:type="dxa"/>
            <w:vMerge w:val="restart"/>
            <w:tcBorders>
              <w:top w:val="single" w:color="auto" w:sz="4" w:space="0"/>
              <w:left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ind w:firstLine="361" w:firstLineChars="200"/>
              <w:jc w:val="center"/>
              <w:textAlignment w:val="auto"/>
              <w:rPr>
                <w:rFonts w:hint="eastAsia" w:ascii="仿宋_GB2312" w:hAnsi="仿宋_GB2312" w:eastAsia="仿宋_GB2312" w:cs="仿宋_GB2312"/>
                <w:b/>
                <w:bCs/>
                <w:color w:val="000000"/>
                <w:kern w:val="0"/>
                <w:sz w:val="18"/>
                <w:szCs w:val="18"/>
              </w:rPr>
            </w:pPr>
            <w:r>
              <w:rPr>
                <w:rFonts w:hint="eastAsia" w:ascii="仿宋_GB2312" w:hAnsi="仿宋_GB2312" w:eastAsia="仿宋_GB2312" w:cs="仿宋_GB2312"/>
                <w:b/>
                <w:bCs/>
                <w:sz w:val="18"/>
                <w:szCs w:val="18"/>
              </w:rPr>
              <w:t>评分标准</w:t>
            </w:r>
          </w:p>
        </w:tc>
        <w:tc>
          <w:tcPr>
            <w:tcW w:w="244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评分标准</w:t>
            </w:r>
          </w:p>
        </w:tc>
        <w:tc>
          <w:tcPr>
            <w:tcW w:w="435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资信技术分（80）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ascii="仿宋" w:hAnsi="仿宋" w:eastAsia="仿宋" w:cs="宋体"/>
                <w:color w:val="000000"/>
                <w:kern w:val="0"/>
                <w:sz w:val="18"/>
                <w:szCs w:val="18"/>
              </w:rPr>
            </w:pPr>
          </w:p>
        </w:tc>
        <w:tc>
          <w:tcPr>
            <w:tcW w:w="12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ascii="仿宋" w:hAnsi="仿宋" w:eastAsia="仿宋" w:cs="宋体"/>
                <w:color w:val="000000"/>
                <w:kern w:val="0"/>
                <w:sz w:val="18"/>
                <w:szCs w:val="18"/>
              </w:rPr>
            </w:pPr>
          </w:p>
        </w:tc>
        <w:tc>
          <w:tcPr>
            <w:tcW w:w="519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ascii="仿宋" w:hAnsi="仿宋" w:eastAsia="仿宋" w:cs="宋体"/>
                <w:color w:val="000000"/>
                <w:kern w:val="0"/>
                <w:sz w:val="18"/>
                <w:szCs w:val="18"/>
              </w:rPr>
            </w:pP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优</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_GB2312" w:hAnsi="仿宋_GB2312" w:eastAsia="仿宋_GB2312" w:cs="仿宋_GB2312"/>
                <w:b/>
                <w:bCs/>
                <w:color w:val="000000"/>
                <w:kern w:val="0"/>
                <w:sz w:val="18"/>
                <w:szCs w:val="18"/>
                <w:lang w:eastAsia="zh-CN"/>
              </w:rPr>
            </w:pPr>
            <w:r>
              <w:rPr>
                <w:rFonts w:hint="eastAsia" w:ascii="仿宋_GB2312" w:hAnsi="仿宋_GB2312" w:eastAsia="仿宋_GB2312" w:cs="仿宋_GB2312"/>
                <w:b/>
                <w:bCs/>
                <w:color w:val="000000"/>
                <w:kern w:val="0"/>
                <w:sz w:val="18"/>
                <w:szCs w:val="18"/>
                <w:lang w:val="en-US" w:eastAsia="zh-CN"/>
              </w:rPr>
              <w:t>良</w:t>
            </w:r>
          </w:p>
        </w:tc>
        <w:tc>
          <w:tcPr>
            <w:tcW w:w="7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_GB2312" w:hAnsi="仿宋_GB2312" w:eastAsia="仿宋_GB2312" w:cs="仿宋_GB2312"/>
                <w:b/>
                <w:bCs/>
                <w:color w:val="000000"/>
                <w:kern w:val="0"/>
                <w:sz w:val="18"/>
                <w:szCs w:val="18"/>
                <w:lang w:val="en-US" w:eastAsia="zh-CN"/>
              </w:rPr>
            </w:pPr>
            <w:r>
              <w:rPr>
                <w:rFonts w:hint="eastAsia" w:ascii="仿宋_GB2312" w:hAnsi="仿宋_GB2312" w:eastAsia="仿宋_GB2312" w:cs="仿宋_GB2312"/>
                <w:b/>
                <w:bCs/>
                <w:color w:val="000000"/>
                <w:kern w:val="0"/>
                <w:sz w:val="18"/>
                <w:szCs w:val="18"/>
                <w:lang w:val="en-US" w:eastAsia="zh-CN"/>
              </w:rPr>
              <w:t>一般</w:t>
            </w:r>
          </w:p>
        </w:tc>
        <w:tc>
          <w:tcPr>
            <w:tcW w:w="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1</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2</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3</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4</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b/>
                <w:bCs/>
                <w:color w:val="000000"/>
                <w:kern w:val="0"/>
                <w:sz w:val="18"/>
                <w:szCs w:val="18"/>
                <w:lang w:val="en-US" w:eastAsia="zh-CN"/>
              </w:rPr>
            </w:pPr>
            <w:r>
              <w:rPr>
                <w:rFonts w:hint="eastAsia" w:ascii="仿宋" w:hAnsi="仿宋" w:eastAsia="仿宋" w:cs="宋体"/>
                <w:b/>
                <w:bCs/>
                <w:color w:val="000000"/>
                <w:kern w:val="0"/>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r>
              <w:rPr>
                <w:sz w:val="18"/>
                <w:szCs w:val="18"/>
              </w:rPr>
              <w:t>1</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color w:val="000000"/>
                <w:kern w:val="0"/>
                <w:sz w:val="18"/>
                <w:szCs w:val="18"/>
                <w:lang w:val="en-US" w:eastAsia="zh-CN"/>
              </w:rPr>
            </w:pPr>
            <w:r>
              <w:rPr>
                <w:rFonts w:hint="eastAsia" w:ascii="宋体" w:hAnsi="宋体" w:cs="宋体"/>
                <w:bCs/>
                <w:color w:val="000000"/>
                <w:sz w:val="18"/>
                <w:szCs w:val="18"/>
              </w:rPr>
              <w:t>设计主题</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整体紧扣展会主题，体现台州展区布展设计要求。</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10-8</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7-5</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default"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4-1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r>
              <w:rPr>
                <w:sz w:val="18"/>
                <w:szCs w:val="18"/>
              </w:rPr>
              <w:t>2</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仿宋" w:hAnsi="仿宋" w:eastAsia="仿宋" w:cs="宋体"/>
                <w:color w:val="000000"/>
                <w:kern w:val="0"/>
                <w:sz w:val="18"/>
                <w:szCs w:val="18"/>
                <w:lang w:val="en-US" w:eastAsia="zh-CN"/>
              </w:rPr>
            </w:pPr>
            <w:r>
              <w:rPr>
                <w:rFonts w:hint="eastAsia" w:ascii="宋体" w:hAnsi="宋体" w:cs="宋体"/>
                <w:bCs/>
                <w:color w:val="000000"/>
                <w:sz w:val="18"/>
                <w:szCs w:val="18"/>
              </w:rPr>
              <w:t>设计理念</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设计思路、创新理念、文稿质量、逻辑性和可操作性等，评委相对比较酌情评分。</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10-8</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7-5</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4-1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r>
              <w:rPr>
                <w:sz w:val="18"/>
                <w:szCs w:val="18"/>
              </w:rPr>
              <w:t>3</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rPr>
            </w:pPr>
            <w:r>
              <w:rPr>
                <w:rFonts w:hint="eastAsia" w:ascii="宋体" w:hAnsi="宋体" w:cs="宋体"/>
                <w:bCs/>
                <w:color w:val="000000"/>
                <w:sz w:val="18"/>
                <w:szCs w:val="18"/>
              </w:rPr>
              <w:t>设计布局</w:t>
            </w:r>
          </w:p>
        </w:tc>
        <w:tc>
          <w:tcPr>
            <w:tcW w:w="5196" w:type="dxa"/>
            <w:tcBorders>
              <w:top w:val="single" w:color="auto" w:sz="4" w:space="0"/>
              <w:left w:val="nil"/>
              <w:bottom w:val="single" w:color="auto" w:sz="4" w:space="0"/>
              <w:right w:val="single" w:color="auto" w:sz="4" w:space="0"/>
            </w:tcBorders>
            <w:noWrap w:val="0"/>
            <w:vAlign w:val="center"/>
          </w:tcPr>
          <w:p>
            <w:pPr>
              <w:pStyle w:val="12"/>
              <w:keepNext w:val="0"/>
              <w:keepLines w:val="0"/>
              <w:pageBreakBefore w:val="0"/>
              <w:kinsoku/>
              <w:wordWrap/>
              <w:overflowPunct/>
              <w:topLinePunct w:val="0"/>
              <w:autoSpaceDE/>
              <w:autoSpaceDN/>
              <w:bidi w:val="0"/>
              <w:adjustRightInd w:val="0"/>
              <w:snapToGrid/>
              <w:spacing w:beforeAutospacing="0" w:afterAutospacing="0" w:line="200" w:lineRule="exact"/>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展区设计平面、立面、主入口效果图及合理性，评委相对比较酌情评分。</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13-10</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9-6</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bidi="ar-SA"/>
              </w:rPr>
            </w:pPr>
            <w:r>
              <w:rPr>
                <w:rFonts w:hint="eastAsia" w:ascii="宋体" w:hAnsi="宋体" w:eastAsia="宋体" w:cs="宋体"/>
                <w:bCs/>
                <w:color w:val="000000"/>
                <w:kern w:val="2"/>
                <w:sz w:val="18"/>
                <w:szCs w:val="18"/>
                <w:lang w:val="en-US" w:eastAsia="zh-CN" w:bidi="ar-SA"/>
              </w:rPr>
              <w:t>5-1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r>
              <w:rPr>
                <w:sz w:val="18"/>
                <w:szCs w:val="18"/>
              </w:rPr>
              <w:t>4</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rPr>
            </w:pPr>
            <w:r>
              <w:rPr>
                <w:rFonts w:hint="eastAsia" w:ascii="宋体" w:hAnsi="宋体" w:cs="宋体"/>
                <w:bCs/>
                <w:color w:val="000000"/>
                <w:sz w:val="18"/>
                <w:szCs w:val="18"/>
              </w:rPr>
              <w:t>造型效果</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cs="宋体"/>
                <w:bCs/>
                <w:color w:val="000000"/>
                <w:sz w:val="18"/>
                <w:szCs w:val="18"/>
              </w:rPr>
            </w:pPr>
            <w:r>
              <w:rPr>
                <w:rFonts w:hint="eastAsia" w:ascii="宋体" w:hAnsi="宋体" w:cs="宋体"/>
                <w:bCs/>
                <w:color w:val="000000"/>
                <w:sz w:val="18"/>
                <w:szCs w:val="18"/>
              </w:rPr>
              <w:t>展区设计风格、理念、样式新颖、独特，有较强的表现力。</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15-11</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10-6</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5-</w:t>
            </w:r>
            <w:r>
              <w:rPr>
                <w:rFonts w:hint="eastAsia" w:ascii="宋体" w:hAnsi="宋体" w:cs="宋体"/>
                <w:bCs/>
                <w:color w:val="000000"/>
                <w:sz w:val="18"/>
                <w:szCs w:val="18"/>
                <w:lang w:val="en-US" w:eastAsia="zh-CN"/>
              </w:rPr>
              <w:t>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r>
              <w:rPr>
                <w:sz w:val="18"/>
                <w:szCs w:val="18"/>
              </w:rPr>
              <w:t>5</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rPr>
            </w:pPr>
            <w:r>
              <w:rPr>
                <w:rFonts w:hint="eastAsia" w:ascii="宋体" w:hAnsi="宋体" w:cs="宋体"/>
                <w:bCs/>
                <w:color w:val="000000"/>
                <w:sz w:val="18"/>
                <w:szCs w:val="18"/>
              </w:rPr>
              <w:t>功能协调</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cs="宋体"/>
                <w:bCs/>
                <w:color w:val="000000"/>
                <w:sz w:val="18"/>
                <w:szCs w:val="18"/>
              </w:rPr>
            </w:pPr>
            <w:r>
              <w:rPr>
                <w:rFonts w:hint="eastAsia" w:ascii="宋体" w:hAnsi="宋体" w:cs="宋体"/>
                <w:bCs/>
                <w:color w:val="000000"/>
                <w:sz w:val="18"/>
                <w:szCs w:val="18"/>
              </w:rPr>
              <w:t>整体的设计与展会场地、建筑、空间的协调性、统一性比较。</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6-5</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4-3</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2-1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ascii="仿宋" w:hAnsi="仿宋" w:eastAsia="仿宋"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r>
              <w:rPr>
                <w:sz w:val="18"/>
                <w:szCs w:val="18"/>
              </w:rPr>
              <w:t>6</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eastAsia="宋体" w:cs="宋体"/>
                <w:bCs/>
                <w:color w:val="000000"/>
                <w:kern w:val="2"/>
                <w:sz w:val="18"/>
                <w:szCs w:val="18"/>
                <w:lang w:val="en-US" w:eastAsia="zh-CN"/>
              </w:rPr>
            </w:pPr>
            <w:r>
              <w:rPr>
                <w:rFonts w:hint="eastAsia" w:ascii="宋体" w:hAnsi="宋体" w:cs="宋体"/>
                <w:bCs/>
                <w:color w:val="000000"/>
                <w:sz w:val="18"/>
                <w:szCs w:val="18"/>
              </w:rPr>
              <w:t>服务承诺</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cs="宋体"/>
                <w:bCs/>
                <w:color w:val="000000"/>
                <w:sz w:val="18"/>
                <w:szCs w:val="18"/>
              </w:rPr>
            </w:pPr>
            <w:r>
              <w:rPr>
                <w:rFonts w:hint="eastAsia" w:ascii="宋体" w:hAnsi="宋体" w:cs="宋体"/>
                <w:bCs/>
                <w:color w:val="000000"/>
                <w:sz w:val="18"/>
                <w:szCs w:val="18"/>
              </w:rPr>
              <w:t>包括方案设计、施工、及现场安全管理等各个阶段的服务承诺。</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6-5</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4-3</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2-1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lang w:eastAsia="zh-CN"/>
              </w:rPr>
            </w:pPr>
            <w:r>
              <w:rPr>
                <w:sz w:val="18"/>
                <w:szCs w:val="18"/>
              </w:rPr>
              <w:t>7</w:t>
            </w:r>
          </w:p>
        </w:tc>
        <w:tc>
          <w:tcPr>
            <w:tcW w:w="1273"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cs="宋体"/>
                <w:bCs/>
                <w:color w:val="000000"/>
                <w:kern w:val="2"/>
                <w:sz w:val="18"/>
                <w:szCs w:val="18"/>
              </w:rPr>
            </w:pPr>
            <w:r>
              <w:rPr>
                <w:rFonts w:hint="eastAsia" w:cs="宋体"/>
                <w:bCs/>
                <w:color w:val="000000"/>
                <w:kern w:val="2"/>
                <w:sz w:val="18"/>
                <w:szCs w:val="18"/>
              </w:rPr>
              <w:t>相符性等</w:t>
            </w:r>
          </w:p>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宋体" w:hAnsi="宋体" w:eastAsia="宋体" w:cs="宋体"/>
                <w:bCs/>
                <w:color w:val="000000"/>
                <w:kern w:val="2"/>
                <w:sz w:val="18"/>
                <w:szCs w:val="18"/>
                <w:lang w:val="en-US" w:eastAsia="zh-CN"/>
              </w:rPr>
            </w:pPr>
            <w:r>
              <w:rPr>
                <w:rFonts w:hint="eastAsia" w:cs="宋体"/>
                <w:bCs/>
                <w:color w:val="000000"/>
                <w:kern w:val="2"/>
                <w:sz w:val="18"/>
                <w:szCs w:val="18"/>
              </w:rPr>
              <w:t>情况</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cs="宋体"/>
                <w:bCs/>
                <w:color w:val="000000"/>
                <w:sz w:val="18"/>
                <w:szCs w:val="18"/>
                <w:lang w:eastAsia="zh-CN"/>
              </w:rPr>
            </w:pPr>
            <w:r>
              <w:rPr>
                <w:rFonts w:hint="eastAsia" w:ascii="宋体" w:hAnsi="宋体" w:cs="宋体"/>
                <w:bCs/>
                <w:color w:val="000000"/>
                <w:sz w:val="18"/>
                <w:szCs w:val="18"/>
              </w:rPr>
              <w:t>根据设计高度、重量等与场馆要求的相符性及布展材料是否符合环保要求、展区应急措施落实等情况</w:t>
            </w:r>
            <w:r>
              <w:rPr>
                <w:rFonts w:hint="eastAsia" w:ascii="宋体" w:hAnsi="宋体" w:cs="宋体"/>
                <w:bCs/>
                <w:color w:val="000000"/>
                <w:sz w:val="18"/>
                <w:szCs w:val="18"/>
                <w:lang w:val="en-US" w:eastAsia="zh-CN"/>
              </w:rPr>
              <w:t>。</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6-5</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4-3</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2-1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ascii="仿宋" w:hAnsi="仿宋" w:eastAsia="仿宋"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sz w:val="18"/>
                <w:szCs w:val="18"/>
              </w:rPr>
            </w:pPr>
            <w:r>
              <w:rPr>
                <w:sz w:val="18"/>
                <w:szCs w:val="18"/>
              </w:rPr>
              <w:t>8</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beforeAutospacing="0" w:afterAutospacing="0" w:line="200" w:lineRule="exact"/>
              <w:jc w:val="center"/>
              <w:textAlignment w:val="auto"/>
              <w:rPr>
                <w:rFonts w:hint="eastAsia"/>
                <w:sz w:val="18"/>
                <w:szCs w:val="18"/>
              </w:rPr>
            </w:pPr>
            <w:r>
              <w:rPr>
                <w:rFonts w:hint="eastAsia" w:ascii="宋体" w:hAnsi="宋体" w:cs="宋体"/>
                <w:bCs/>
                <w:sz w:val="18"/>
                <w:szCs w:val="18"/>
              </w:rPr>
              <w:t>设计团队</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cs="宋体"/>
                <w:bCs/>
                <w:color w:val="000000"/>
                <w:sz w:val="18"/>
                <w:szCs w:val="18"/>
              </w:rPr>
            </w:pPr>
            <w:r>
              <w:rPr>
                <w:rFonts w:hint="eastAsia" w:ascii="宋体" w:hAnsi="宋体" w:cs="宋体"/>
                <w:bCs/>
                <w:color w:val="000000"/>
                <w:sz w:val="18"/>
                <w:szCs w:val="18"/>
              </w:rPr>
              <w:t>根据投标人提供的设计人员、施工力量配备情况，评委相对比较酌情评分。</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5-4</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default" w:ascii="宋体" w:hAnsi="宋体" w:cs="宋体"/>
                <w:bCs/>
                <w:color w:val="000000"/>
                <w:sz w:val="18"/>
                <w:szCs w:val="18"/>
                <w:lang w:val="en-US" w:eastAsia="zh-CN"/>
              </w:rPr>
            </w:pPr>
            <w:r>
              <w:rPr>
                <w:rFonts w:hint="eastAsia" w:ascii="宋体" w:hAnsi="宋体" w:cs="宋体"/>
                <w:bCs/>
                <w:color w:val="000000"/>
                <w:sz w:val="18"/>
                <w:szCs w:val="18"/>
              </w:rPr>
              <w:t>3</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lang w:val="en-US" w:eastAsia="zh-CN"/>
              </w:rPr>
            </w:pPr>
            <w:r>
              <w:rPr>
                <w:rFonts w:hint="eastAsia" w:ascii="宋体" w:hAnsi="宋体" w:cs="宋体"/>
                <w:bCs/>
                <w:color w:val="000000"/>
                <w:sz w:val="18"/>
                <w:szCs w:val="18"/>
                <w:lang w:val="en-US" w:eastAsia="zh-CN"/>
              </w:rPr>
              <w:t>2-1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jc w:val="center"/>
        </w:trPr>
        <w:tc>
          <w:tcPr>
            <w:tcW w:w="8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sz w:val="18"/>
                <w:szCs w:val="18"/>
              </w:rPr>
            </w:pPr>
            <w:r>
              <w:rPr>
                <w:rFonts w:ascii="宋体" w:hAnsi="宋体" w:cs="宋体"/>
                <w:kern w:val="0"/>
                <w:sz w:val="18"/>
                <w:szCs w:val="18"/>
              </w:rPr>
              <w:t>9</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beforeAutospacing="0" w:afterAutospacing="0" w:line="200" w:lineRule="exact"/>
              <w:jc w:val="center"/>
              <w:textAlignment w:val="auto"/>
              <w:rPr>
                <w:rFonts w:hint="eastAsia"/>
                <w:sz w:val="18"/>
                <w:szCs w:val="18"/>
              </w:rPr>
            </w:pPr>
            <w:r>
              <w:rPr>
                <w:rFonts w:hint="eastAsia" w:ascii="宋体" w:hAnsi="宋体" w:cs="宋体"/>
                <w:bCs/>
                <w:sz w:val="18"/>
                <w:szCs w:val="18"/>
              </w:rPr>
              <w:t>企业信誉</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cs="宋体"/>
                <w:bCs/>
                <w:color w:val="000000"/>
                <w:sz w:val="18"/>
                <w:szCs w:val="18"/>
              </w:rPr>
            </w:pPr>
            <w:r>
              <w:rPr>
                <w:rFonts w:hint="eastAsia" w:ascii="宋体" w:hAnsi="宋体" w:cs="宋体"/>
                <w:bCs/>
                <w:color w:val="000000"/>
                <w:sz w:val="18"/>
                <w:szCs w:val="18"/>
              </w:rPr>
              <w:t>根据投标人的综合能力、社会信誉度等评委相对比较酌情评分。</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5-4</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rPr>
              <w:t>3</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rPr>
            </w:pPr>
            <w:r>
              <w:rPr>
                <w:rFonts w:hint="eastAsia" w:ascii="宋体" w:hAnsi="宋体" w:cs="宋体"/>
                <w:bCs/>
                <w:color w:val="000000"/>
                <w:sz w:val="18"/>
                <w:szCs w:val="18"/>
                <w:lang w:val="en-US" w:eastAsia="zh-CN"/>
              </w:rPr>
              <w:t>2-1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jc w:val="center"/>
        </w:trPr>
        <w:tc>
          <w:tcPr>
            <w:tcW w:w="85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sz w:val="18"/>
                <w:szCs w:val="18"/>
              </w:rPr>
            </w:pPr>
            <w:r>
              <w:rPr>
                <w:rFonts w:ascii="宋体" w:hAnsi="宋体" w:cs="宋体"/>
                <w:kern w:val="0"/>
                <w:sz w:val="18"/>
                <w:szCs w:val="18"/>
              </w:rPr>
              <w:t>10</w:t>
            </w:r>
          </w:p>
        </w:tc>
        <w:tc>
          <w:tcPr>
            <w:tcW w:w="127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beforeAutospacing="0" w:afterAutospacing="0" w:line="200" w:lineRule="exact"/>
              <w:jc w:val="center"/>
              <w:textAlignment w:val="auto"/>
              <w:rPr>
                <w:rFonts w:hint="eastAsia"/>
                <w:sz w:val="18"/>
                <w:szCs w:val="18"/>
              </w:rPr>
            </w:pPr>
            <w:r>
              <w:rPr>
                <w:rFonts w:hint="eastAsia" w:ascii="宋体" w:hAnsi="宋体" w:cs="宋体"/>
                <w:bCs/>
                <w:color w:val="000000"/>
                <w:sz w:val="18"/>
                <w:szCs w:val="18"/>
              </w:rPr>
              <w:t>现场讲标</w:t>
            </w:r>
          </w:p>
        </w:tc>
        <w:tc>
          <w:tcPr>
            <w:tcW w:w="51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left"/>
              <w:textAlignment w:val="auto"/>
              <w:rPr>
                <w:rFonts w:hint="eastAsia" w:ascii="宋体" w:hAnsi="宋体" w:cs="宋体"/>
                <w:bCs/>
                <w:color w:val="000000"/>
                <w:sz w:val="18"/>
                <w:szCs w:val="18"/>
              </w:rPr>
            </w:pPr>
            <w:r>
              <w:rPr>
                <w:rFonts w:hint="eastAsia" w:ascii="宋体" w:hAnsi="宋体" w:cs="宋体"/>
                <w:bCs/>
                <w:color w:val="000000"/>
                <w:sz w:val="18"/>
                <w:szCs w:val="18"/>
              </w:rPr>
              <w:t>项目负责人现场讲解展会设计方案并回答评标专家委员会的提问，评委依据其讲解方案及答辩情况相对比较酌情评分。</w:t>
            </w:r>
          </w:p>
        </w:tc>
        <w:tc>
          <w:tcPr>
            <w:tcW w:w="8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default" w:ascii="宋体" w:hAnsi="宋体" w:cs="宋体"/>
                <w:bCs/>
                <w:color w:val="000000"/>
                <w:sz w:val="18"/>
                <w:szCs w:val="18"/>
                <w:lang w:val="en-US" w:eastAsia="zh-CN"/>
              </w:rPr>
            </w:pPr>
            <w:r>
              <w:rPr>
                <w:rFonts w:hint="eastAsia" w:ascii="宋体" w:hAnsi="宋体" w:cs="宋体"/>
                <w:bCs/>
                <w:color w:val="000000"/>
                <w:sz w:val="18"/>
                <w:szCs w:val="18"/>
                <w:lang w:val="en-US" w:eastAsia="zh-CN"/>
              </w:rPr>
              <w:t>4-3</w:t>
            </w:r>
          </w:p>
        </w:tc>
        <w:tc>
          <w:tcPr>
            <w:tcW w:w="7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lang w:val="en-US" w:eastAsia="zh-CN"/>
              </w:rPr>
            </w:pPr>
            <w:r>
              <w:rPr>
                <w:rFonts w:hint="eastAsia" w:ascii="宋体" w:hAnsi="宋体" w:cs="宋体"/>
                <w:bCs/>
                <w:color w:val="000000"/>
                <w:sz w:val="18"/>
                <w:szCs w:val="18"/>
                <w:lang w:val="en-US" w:eastAsia="zh-CN"/>
              </w:rPr>
              <w:t>2</w:t>
            </w:r>
          </w:p>
        </w:tc>
        <w:tc>
          <w:tcPr>
            <w:tcW w:w="7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Autospacing="0" w:afterAutospacing="0" w:line="200" w:lineRule="exact"/>
              <w:jc w:val="center"/>
              <w:textAlignment w:val="auto"/>
              <w:rPr>
                <w:rFonts w:hint="eastAsia" w:ascii="宋体" w:hAnsi="宋体" w:cs="宋体"/>
                <w:bCs/>
                <w:color w:val="000000"/>
                <w:sz w:val="18"/>
                <w:szCs w:val="18"/>
                <w:lang w:val="en-US" w:eastAsia="zh-CN"/>
              </w:rPr>
            </w:pPr>
            <w:r>
              <w:rPr>
                <w:rFonts w:hint="eastAsia" w:ascii="宋体" w:hAnsi="宋体" w:cs="宋体"/>
                <w:bCs/>
                <w:color w:val="000000"/>
                <w:sz w:val="18"/>
                <w:szCs w:val="18"/>
                <w:lang w:val="en-US" w:eastAsia="zh-CN"/>
              </w:rPr>
              <w:t>1</w:t>
            </w:r>
          </w:p>
        </w:tc>
        <w:tc>
          <w:tcPr>
            <w:tcW w:w="807"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90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3"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c>
          <w:tcPr>
            <w:tcW w:w="882" w:type="dxa"/>
            <w:tcBorders>
              <w:top w:val="nil"/>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rFonts w:hint="eastAsia" w:eastAsia="宋体"/>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976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beforeAutospacing="0" w:afterAutospacing="0" w:line="200" w:lineRule="exact"/>
              <w:jc w:val="center"/>
              <w:textAlignment w:val="auto"/>
              <w:rPr>
                <w:rFonts w:hint="eastAsia" w:hAnsi="宋体" w:cs="宋体"/>
                <w:bCs/>
                <w:color w:val="000000"/>
                <w:sz w:val="18"/>
                <w:szCs w:val="18"/>
                <w:lang w:val="en-US" w:eastAsia="zh-CN"/>
              </w:rPr>
            </w:pPr>
            <w:r>
              <w:rPr>
                <w:rFonts w:hint="eastAsia" w:ascii="宋体" w:hAnsi="宋体" w:cs="宋体"/>
                <w:b/>
                <w:bCs/>
                <w:kern w:val="0"/>
                <w:sz w:val="18"/>
                <w:szCs w:val="18"/>
                <w:lang w:val="en-US" w:eastAsia="zh-CN"/>
              </w:rPr>
              <w:t>合  计</w:t>
            </w:r>
          </w:p>
        </w:tc>
        <w:tc>
          <w:tcPr>
            <w:tcW w:w="807"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sz w:val="18"/>
                <w:szCs w:val="18"/>
              </w:rPr>
            </w:pPr>
          </w:p>
        </w:tc>
        <w:tc>
          <w:tcPr>
            <w:tcW w:w="90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sz w:val="18"/>
                <w:szCs w:val="18"/>
              </w:rPr>
            </w:pPr>
          </w:p>
        </w:tc>
        <w:tc>
          <w:tcPr>
            <w:tcW w:w="883"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sz w:val="18"/>
                <w:szCs w:val="18"/>
              </w:rPr>
            </w:pPr>
          </w:p>
        </w:tc>
        <w:tc>
          <w:tcPr>
            <w:tcW w:w="883"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sz w:val="18"/>
                <w:szCs w:val="18"/>
              </w:rPr>
            </w:pPr>
          </w:p>
        </w:tc>
        <w:tc>
          <w:tcPr>
            <w:tcW w:w="88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kinsoku/>
              <w:wordWrap/>
              <w:overflowPunct/>
              <w:topLinePunct w:val="0"/>
              <w:autoSpaceDE/>
              <w:autoSpaceDN/>
              <w:bidi w:val="0"/>
              <w:adjustRightInd w:val="0"/>
              <w:snapToGrid/>
              <w:spacing w:before="0" w:beforeAutospacing="0" w:after="0" w:afterAutospacing="0" w:line="200" w:lineRule="exact"/>
              <w:jc w:val="center"/>
              <w:textAlignment w:val="auto"/>
              <w:rPr>
                <w:sz w:val="18"/>
                <w:szCs w:val="18"/>
              </w:rPr>
            </w:pPr>
          </w:p>
        </w:tc>
      </w:tr>
    </w:tbl>
    <w:p>
      <w: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项目评分表（商务报价分）</w:t>
      </w:r>
    </w:p>
    <w:tbl>
      <w:tblPr>
        <w:tblStyle w:val="9"/>
        <w:tblpPr w:leftFromText="180" w:rightFromText="180" w:vertAnchor="text" w:horzAnchor="page" w:tblpX="1516" w:tblpY="289"/>
        <w:tblOverlap w:val="never"/>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677"/>
        <w:gridCol w:w="2954"/>
        <w:gridCol w:w="278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059"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eastAsia="宋体"/>
                <w:b/>
                <w:bCs/>
                <w:sz w:val="28"/>
                <w:szCs w:val="28"/>
                <w:vertAlign w:val="baseline"/>
                <w:lang w:eastAsia="zh-CN"/>
              </w:rPr>
            </w:pPr>
            <w:r>
              <w:rPr>
                <w:rFonts w:hint="eastAsia"/>
                <w:b/>
                <w:bCs/>
                <w:sz w:val="28"/>
                <w:szCs w:val="28"/>
                <w:vertAlign w:val="baseline"/>
                <w:lang w:eastAsia="zh-CN"/>
              </w:rPr>
              <w:t>序号</w:t>
            </w:r>
          </w:p>
        </w:tc>
        <w:tc>
          <w:tcPr>
            <w:tcW w:w="3677"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b/>
                <w:bCs/>
                <w:sz w:val="28"/>
                <w:szCs w:val="28"/>
                <w:vertAlign w:val="baseline"/>
                <w:lang w:eastAsia="zh-CN"/>
              </w:rPr>
            </w:pPr>
            <w:r>
              <w:rPr>
                <w:rFonts w:hint="eastAsia"/>
                <w:b/>
                <w:bCs/>
                <w:sz w:val="28"/>
                <w:szCs w:val="28"/>
                <w:vertAlign w:val="baseline"/>
                <w:lang w:eastAsia="zh-CN"/>
              </w:rPr>
              <w:t>投标人名称</w:t>
            </w:r>
          </w:p>
        </w:tc>
        <w:tc>
          <w:tcPr>
            <w:tcW w:w="2954"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b/>
                <w:bCs/>
                <w:sz w:val="28"/>
                <w:szCs w:val="28"/>
                <w:vertAlign w:val="baseline"/>
                <w:lang w:eastAsia="zh-CN"/>
              </w:rPr>
            </w:pPr>
            <w:r>
              <w:rPr>
                <w:rFonts w:hint="eastAsia"/>
                <w:b/>
                <w:bCs/>
                <w:sz w:val="28"/>
                <w:szCs w:val="28"/>
                <w:vertAlign w:val="baseline"/>
                <w:lang w:eastAsia="zh-CN"/>
              </w:rPr>
              <w:t>有效投标报价</w:t>
            </w:r>
          </w:p>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eastAsia="宋体"/>
                <w:b/>
                <w:bCs/>
                <w:sz w:val="28"/>
                <w:szCs w:val="28"/>
                <w:vertAlign w:val="baseline"/>
                <w:lang w:eastAsia="zh-CN"/>
              </w:rPr>
            </w:pPr>
            <w:r>
              <w:rPr>
                <w:rFonts w:hint="eastAsia"/>
                <w:b/>
                <w:bCs/>
                <w:sz w:val="28"/>
                <w:szCs w:val="28"/>
                <w:vertAlign w:val="baseline"/>
                <w:lang w:eastAsia="zh-CN"/>
              </w:rPr>
              <w:t>（万元）</w:t>
            </w:r>
          </w:p>
        </w:tc>
        <w:tc>
          <w:tcPr>
            <w:tcW w:w="2780"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b/>
                <w:bCs/>
                <w:sz w:val="28"/>
                <w:szCs w:val="28"/>
                <w:vertAlign w:val="baseline"/>
                <w:lang w:eastAsia="zh-CN"/>
              </w:rPr>
            </w:pPr>
            <w:r>
              <w:rPr>
                <w:rFonts w:hint="eastAsia"/>
                <w:b/>
                <w:bCs/>
                <w:sz w:val="28"/>
                <w:szCs w:val="28"/>
                <w:vertAlign w:val="baseline"/>
                <w:lang w:eastAsia="zh-CN"/>
              </w:rPr>
              <w:t>评标基准价</w:t>
            </w:r>
          </w:p>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eastAsia="宋体"/>
                <w:b/>
                <w:bCs/>
                <w:sz w:val="28"/>
                <w:szCs w:val="28"/>
                <w:vertAlign w:val="baseline"/>
                <w:lang w:eastAsia="zh-CN"/>
              </w:rPr>
            </w:pPr>
            <w:r>
              <w:rPr>
                <w:rFonts w:hint="eastAsia"/>
                <w:b/>
                <w:bCs/>
                <w:sz w:val="28"/>
                <w:szCs w:val="28"/>
                <w:vertAlign w:val="baseline"/>
                <w:lang w:eastAsia="zh-CN"/>
              </w:rPr>
              <w:t>（万元）</w:t>
            </w:r>
          </w:p>
        </w:tc>
        <w:tc>
          <w:tcPr>
            <w:tcW w:w="3490"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b/>
                <w:bCs/>
                <w:sz w:val="28"/>
                <w:szCs w:val="28"/>
                <w:vertAlign w:val="baseline"/>
                <w:lang w:eastAsia="zh-CN"/>
              </w:rPr>
            </w:pPr>
            <w:r>
              <w:rPr>
                <w:rFonts w:hint="eastAsia"/>
                <w:b/>
                <w:bCs/>
                <w:sz w:val="28"/>
                <w:szCs w:val="28"/>
                <w:vertAlign w:val="baseline"/>
                <w:lang w:eastAsia="zh-CN"/>
              </w:rPr>
              <w:t>得</w:t>
            </w:r>
            <w:r>
              <w:rPr>
                <w:rFonts w:hint="eastAsia"/>
                <w:b/>
                <w:bCs/>
                <w:sz w:val="28"/>
                <w:szCs w:val="28"/>
                <w:vertAlign w:val="baseline"/>
                <w:lang w:val="en-US" w:eastAsia="zh-CN"/>
              </w:rPr>
              <w:t xml:space="preserve">  </w:t>
            </w:r>
            <w:r>
              <w:rPr>
                <w:rFonts w:hint="eastAsia"/>
                <w:b/>
                <w:bCs/>
                <w:sz w:val="28"/>
                <w:szCs w:val="28"/>
                <w:vertAlign w:val="baseline"/>
                <w:lang w:eastAsia="zh-CN"/>
              </w:rPr>
              <w:t>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8"/>
                <w:szCs w:val="28"/>
                <w:lang w:eastAsia="zh-CN"/>
              </w:rPr>
            </w:pPr>
            <w:r>
              <w:rPr>
                <w:rFonts w:hint="eastAsia" w:ascii="仿宋_GB2312" w:eastAsia="仿宋_GB2312" w:cs="Times New Roman"/>
                <w:sz w:val="28"/>
                <w:szCs w:val="28"/>
                <w:lang w:val="zh-CN"/>
              </w:rPr>
              <w:t>投标报价得分＝(评标基准价/有效投标报价)×</w:t>
            </w:r>
            <w:r>
              <w:rPr>
                <w:rFonts w:hint="eastAsia" w:ascii="仿宋_GB2312" w:eastAsia="仿宋_GB2312" w:cs="Times New Roman"/>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vertAlign w:val="baseline"/>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059" w:type="dxa"/>
            <w:vAlign w:val="center"/>
          </w:tcPr>
          <w:p>
            <w:pPr>
              <w:pStyle w:val="2"/>
              <w:jc w:val="center"/>
              <w:rPr>
                <w:vertAlign w:val="baseline"/>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059" w:type="dxa"/>
            <w:vAlign w:val="center"/>
          </w:tcPr>
          <w:p>
            <w:pPr>
              <w:pStyle w:val="2"/>
              <w:jc w:val="center"/>
              <w:rPr>
                <w:vertAlign w:val="baseline"/>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bl>
    <w:p>
      <w:pPr>
        <w:pStyle w:val="2"/>
        <w:rPr>
          <w:rFonts w:hint="eastAsia"/>
        </w:rPr>
      </w:pPr>
    </w:p>
    <w:p>
      <w: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项目评分表（综合得分）</w:t>
      </w:r>
    </w:p>
    <w:tbl>
      <w:tblPr>
        <w:tblStyle w:val="9"/>
        <w:tblpPr w:leftFromText="180" w:rightFromText="180" w:vertAnchor="text" w:horzAnchor="page" w:tblpX="1516" w:tblpY="289"/>
        <w:tblOverlap w:val="never"/>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677"/>
        <w:gridCol w:w="2954"/>
        <w:gridCol w:w="278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059"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eastAsia="宋体"/>
                <w:b/>
                <w:bCs/>
                <w:sz w:val="28"/>
                <w:szCs w:val="28"/>
                <w:vertAlign w:val="baseline"/>
                <w:lang w:eastAsia="zh-CN"/>
              </w:rPr>
            </w:pPr>
            <w:r>
              <w:rPr>
                <w:rFonts w:hint="eastAsia"/>
                <w:b/>
                <w:bCs/>
                <w:sz w:val="28"/>
                <w:szCs w:val="28"/>
                <w:vertAlign w:val="baseline"/>
                <w:lang w:eastAsia="zh-CN"/>
              </w:rPr>
              <w:t>序号</w:t>
            </w:r>
          </w:p>
        </w:tc>
        <w:tc>
          <w:tcPr>
            <w:tcW w:w="3677"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b/>
                <w:bCs/>
                <w:sz w:val="28"/>
                <w:szCs w:val="28"/>
                <w:vertAlign w:val="baseline"/>
                <w:lang w:eastAsia="zh-CN"/>
              </w:rPr>
            </w:pPr>
            <w:r>
              <w:rPr>
                <w:rFonts w:hint="eastAsia"/>
                <w:b/>
                <w:bCs/>
                <w:sz w:val="28"/>
                <w:szCs w:val="28"/>
                <w:vertAlign w:val="baseline"/>
                <w:lang w:eastAsia="zh-CN"/>
              </w:rPr>
              <w:t>投标人名称</w:t>
            </w:r>
          </w:p>
        </w:tc>
        <w:tc>
          <w:tcPr>
            <w:tcW w:w="2954"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eastAsia="宋体"/>
                <w:b/>
                <w:bCs/>
                <w:sz w:val="28"/>
                <w:szCs w:val="28"/>
                <w:vertAlign w:val="baseline"/>
                <w:lang w:eastAsia="zh-CN"/>
              </w:rPr>
            </w:pPr>
            <w:r>
              <w:rPr>
                <w:rFonts w:hint="eastAsia"/>
                <w:b/>
                <w:bCs/>
                <w:sz w:val="28"/>
                <w:szCs w:val="28"/>
                <w:vertAlign w:val="baseline"/>
                <w:lang w:eastAsia="zh-CN"/>
              </w:rPr>
              <w:t>资信技术分</w:t>
            </w:r>
          </w:p>
        </w:tc>
        <w:tc>
          <w:tcPr>
            <w:tcW w:w="2780" w:type="dxa"/>
            <w:vAlign w:val="center"/>
          </w:tcPr>
          <w:p>
            <w:pPr>
              <w:pStyle w:val="2"/>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eastAsia="宋体"/>
                <w:b/>
                <w:bCs/>
                <w:sz w:val="28"/>
                <w:szCs w:val="28"/>
                <w:vertAlign w:val="baseline"/>
                <w:lang w:eastAsia="zh-CN"/>
              </w:rPr>
            </w:pPr>
            <w:r>
              <w:rPr>
                <w:rFonts w:hint="eastAsia"/>
                <w:b/>
                <w:bCs/>
                <w:sz w:val="28"/>
                <w:szCs w:val="28"/>
                <w:vertAlign w:val="baseline"/>
                <w:lang w:eastAsia="zh-CN"/>
              </w:rPr>
              <w:t>商务报价分</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8"/>
                <w:szCs w:val="28"/>
                <w:lang w:eastAsia="zh-CN"/>
              </w:rPr>
            </w:pPr>
            <w:r>
              <w:rPr>
                <w:rFonts w:hint="eastAsia"/>
                <w:b/>
                <w:bCs/>
                <w:sz w:val="28"/>
                <w:szCs w:val="28"/>
                <w:vertAlign w:val="baseline"/>
                <w:lang w:eastAsia="zh-CN"/>
              </w:rPr>
              <w:t>合</w:t>
            </w:r>
            <w:r>
              <w:rPr>
                <w:rFonts w:hint="eastAsia"/>
                <w:b/>
                <w:bCs/>
                <w:sz w:val="28"/>
                <w:szCs w:val="28"/>
                <w:vertAlign w:val="baseline"/>
                <w:lang w:val="en-US" w:eastAsia="zh-CN"/>
              </w:rPr>
              <w:t xml:space="preserve">  </w:t>
            </w:r>
            <w:r>
              <w:rPr>
                <w:rFonts w:hint="eastAsia"/>
                <w:b/>
                <w:bCs/>
                <w:sz w:val="28"/>
                <w:szCs w:val="28"/>
                <w:vertAlign w:val="baseline"/>
                <w:lang w:eastAsia="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59" w:type="dxa"/>
            <w:vAlign w:val="center"/>
          </w:tcPr>
          <w:p>
            <w:pPr>
              <w:pStyle w:val="2"/>
              <w:jc w:val="center"/>
              <w:rPr>
                <w:rFonts w:hint="eastAsia" w:eastAsia="宋体"/>
                <w:vertAlign w:val="baseline"/>
                <w:lang w:val="en-US" w:eastAsia="zh-CN"/>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59" w:type="dxa"/>
            <w:vAlign w:val="center"/>
          </w:tcPr>
          <w:p>
            <w:pPr>
              <w:pStyle w:val="2"/>
              <w:jc w:val="center"/>
              <w:rPr>
                <w:vertAlign w:val="baseline"/>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059" w:type="dxa"/>
            <w:vAlign w:val="center"/>
          </w:tcPr>
          <w:p>
            <w:pPr>
              <w:pStyle w:val="2"/>
              <w:jc w:val="center"/>
              <w:rPr>
                <w:vertAlign w:val="baseline"/>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059" w:type="dxa"/>
            <w:vAlign w:val="center"/>
          </w:tcPr>
          <w:p>
            <w:pPr>
              <w:pStyle w:val="2"/>
              <w:jc w:val="center"/>
              <w:rPr>
                <w:vertAlign w:val="baseline"/>
              </w:rPr>
            </w:pPr>
          </w:p>
        </w:tc>
        <w:tc>
          <w:tcPr>
            <w:tcW w:w="3677" w:type="dxa"/>
            <w:vAlign w:val="center"/>
          </w:tcPr>
          <w:p>
            <w:pPr>
              <w:pStyle w:val="2"/>
              <w:jc w:val="center"/>
              <w:rPr>
                <w:vertAlign w:val="baseline"/>
              </w:rPr>
            </w:pPr>
          </w:p>
        </w:tc>
        <w:tc>
          <w:tcPr>
            <w:tcW w:w="2954" w:type="dxa"/>
            <w:vAlign w:val="center"/>
          </w:tcPr>
          <w:p>
            <w:pPr>
              <w:pStyle w:val="2"/>
              <w:jc w:val="center"/>
              <w:rPr>
                <w:vertAlign w:val="baseline"/>
              </w:rPr>
            </w:pPr>
          </w:p>
        </w:tc>
        <w:tc>
          <w:tcPr>
            <w:tcW w:w="2780" w:type="dxa"/>
            <w:vAlign w:val="center"/>
          </w:tcPr>
          <w:p>
            <w:pPr>
              <w:pStyle w:val="2"/>
              <w:jc w:val="center"/>
              <w:rPr>
                <w:vertAlign w:val="baseline"/>
              </w:rPr>
            </w:pPr>
          </w:p>
        </w:tc>
        <w:tc>
          <w:tcPr>
            <w:tcW w:w="3490" w:type="dxa"/>
            <w:vAlign w:val="center"/>
          </w:tcPr>
          <w:p>
            <w:pPr>
              <w:pStyle w:val="2"/>
              <w:jc w:val="center"/>
              <w:rPr>
                <w:vertAlign w:val="baseline"/>
              </w:rPr>
            </w:pPr>
          </w:p>
        </w:tc>
      </w:tr>
    </w:tbl>
    <w:p/>
    <w:p>
      <w:pPr>
        <w:rPr>
          <w:rFonts w:hint="eastAsia" w:ascii="宋体" w:hAnsi="宋体" w:eastAsia="宋体" w:cs="宋体"/>
          <w:b/>
          <w:bCs/>
          <w:sz w:val="32"/>
          <w:szCs w:val="32"/>
          <w:lang w:eastAsia="zh-CN"/>
        </w:rPr>
      </w:pPr>
    </w:p>
    <w:sectPr>
      <w:pgSz w:w="16838" w:h="11906" w:orient="landscape"/>
      <w:pgMar w:top="1803" w:right="1440" w:bottom="180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F0139"/>
    <w:rsid w:val="053557AD"/>
    <w:rsid w:val="093420BE"/>
    <w:rsid w:val="0CDC77CF"/>
    <w:rsid w:val="0E925304"/>
    <w:rsid w:val="0F044701"/>
    <w:rsid w:val="14FB7D8D"/>
    <w:rsid w:val="18FD7D34"/>
    <w:rsid w:val="1E5C5F6C"/>
    <w:rsid w:val="1FAC257D"/>
    <w:rsid w:val="1FCD6A39"/>
    <w:rsid w:val="1FDE2CC2"/>
    <w:rsid w:val="216B0AD5"/>
    <w:rsid w:val="24A027C1"/>
    <w:rsid w:val="26FE32A4"/>
    <w:rsid w:val="27F34750"/>
    <w:rsid w:val="283F0139"/>
    <w:rsid w:val="29F5608A"/>
    <w:rsid w:val="2C3127AB"/>
    <w:rsid w:val="2F2422B8"/>
    <w:rsid w:val="307A7989"/>
    <w:rsid w:val="30C83569"/>
    <w:rsid w:val="395E5FA3"/>
    <w:rsid w:val="3B880510"/>
    <w:rsid w:val="3E873DDD"/>
    <w:rsid w:val="3F5F84FD"/>
    <w:rsid w:val="41B6187E"/>
    <w:rsid w:val="44A01009"/>
    <w:rsid w:val="484E1C10"/>
    <w:rsid w:val="4A266EA9"/>
    <w:rsid w:val="4E800487"/>
    <w:rsid w:val="514C519D"/>
    <w:rsid w:val="54EB3C51"/>
    <w:rsid w:val="58620B2F"/>
    <w:rsid w:val="5AFD5169"/>
    <w:rsid w:val="5C335184"/>
    <w:rsid w:val="5C33616E"/>
    <w:rsid w:val="5C7018A9"/>
    <w:rsid w:val="5E487BDF"/>
    <w:rsid w:val="5E7C6525"/>
    <w:rsid w:val="5F6748CF"/>
    <w:rsid w:val="60655788"/>
    <w:rsid w:val="655A3B31"/>
    <w:rsid w:val="6D9E5FB7"/>
    <w:rsid w:val="6E953665"/>
    <w:rsid w:val="6FA864D9"/>
    <w:rsid w:val="6FB912A5"/>
    <w:rsid w:val="72EF5E1B"/>
    <w:rsid w:val="760A3C49"/>
    <w:rsid w:val="76364374"/>
    <w:rsid w:val="79EA1E72"/>
    <w:rsid w:val="7BF2590A"/>
    <w:rsid w:val="F27BC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rPr>
  </w:style>
  <w:style w:type="paragraph" w:styleId="4">
    <w:name w:val="annotation text"/>
    <w:basedOn w:val="1"/>
    <w:qFormat/>
    <w:uiPriority w:val="0"/>
    <w:pPr>
      <w:jc w:val="left"/>
    </w:p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0"/>
    <w:pPr>
      <w:tabs>
        <w:tab w:val="center" w:pos="4153"/>
        <w:tab w:val="right" w:pos="8306"/>
      </w:tabs>
      <w:snapToGrid w:val="0"/>
      <w:jc w:val="left"/>
    </w:pPr>
    <w:rPr>
      <w:kern w:val="2"/>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paragraph" w:customStyle="1" w:styleId="12">
    <w:name w:val="Plain Text1"/>
    <w:basedOn w:val="1"/>
    <w:qFormat/>
    <w:uiPriority w:val="0"/>
    <w:rPr>
      <w:rFonts w:ascii="宋体" w:hAnsi="Courier New" w:cs="Courier New"/>
      <w:sz w:val="21"/>
      <w:szCs w:val="21"/>
    </w:rPr>
  </w:style>
  <w:style w:type="paragraph" w:customStyle="1" w:styleId="13">
    <w:name w:val="Normal (Web)1"/>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2020-10-09T12:52:00Z</dcterms:created>
  <dc:creator>Administrator</dc:creator>
  <cp:lastModifiedBy>丁瑜</cp:lastModifiedBy>
  <dcterms:modified xsi:type="dcterms:W3CDTF">2021-10-14T16:23:12Z</dcterms:modified>
  <dc:title>（三）30万元以下工程、服务类自行采购，由业务单位提出采购申请、实施采购评审、督促采购履约。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2052-11.8.2.9043</vt:lpwstr>
  </property>
</Properties>
</file>